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2190330</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וארבע</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End w:id="3"/>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4"/>
      <w:r>
        <w:rPr>
          <w:rtl/>
        </w:rPr>
        <w:t xml:space="preserve"> </w:t>
      </w:r>
      <w:bookmarkEnd w:id="4"/>
      <w:r w:rsidRPr="00CF1AA2" w:rsidR="002200A1">
        <w:rPr>
          <w:rFonts w:hint="cs"/>
          <w:rtl/>
        </w:rPr>
        <w:tab/>
      </w:r>
      <w:bookmarkStart w:name="LGS_PM_NamesJoin" w:id="5"/>
      <w:r>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xmlns:w="http://schemas.openxmlformats.org/wordprocessingml/2006/main">
        <w:rPr xmlns:w="http://schemas.openxmlformats.org/wordprocessingml/2006/main">
          <w:rFonts w:hint="cs"/>
          <w:rtl/>
        </w:rPr>
        <w:t xml:space="preserve">פ/3496/24</w:t>
      </w:r>
      <w:bookmarkEnd w:id="6"/>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77777777">
      <w:pPr>
        <w:pStyle w:val="HeadHatzaotHok"/>
        <w:rPr>
          <w:rtl/>
        </w:rPr>
      </w:pPr>
      <w:bookmarkStart w:name="LGS_Subject" w:id="7"/>
      <w:r>
        <w:rPr>
          <w:rFonts w:hint="cs"/>
          <w:rtl/>
        </w:rPr>
        <w:t>הצעת חוק סדר הדין הפלילי (תיקון – ביטול פסק דין שניתן בהיעדרו של הנאשם), התשפ"ב–2022</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5895"/>
      </w:tblGrid>
      <w:tr w:rsidRPr="00C34DE2" w:rsidR="00241181" w:rsidTr="00547A5F" w14:paraId="702F8CE7" w14:textId="77777777">
        <w:trPr>
          <w:cantSplit/>
        </w:trPr>
        <w:tc>
          <w:tcPr>
            <w:tcW w:w="1871" w:type="dxa"/>
          </w:tcPr>
          <w:p w:rsidR="00241181" w:rsidP="00547A5F" w:rsidRDefault="00241181" w14:paraId="6E964BDB" w14:textId="77777777">
            <w:pPr>
              <w:pStyle w:val="TableSideHeading"/>
              <w:keepLines w:val="0"/>
            </w:pPr>
            <w:r>
              <w:rPr>
                <w:rFonts w:hint="cs"/>
                <w:rtl/>
              </w:rPr>
              <w:t>תיקון סעיף 240</w:t>
            </w:r>
          </w:p>
        </w:tc>
        <w:tc>
          <w:tcPr>
            <w:tcW w:w="624" w:type="dxa"/>
          </w:tcPr>
          <w:p w:rsidR="00241181" w:rsidP="00547A5F" w:rsidRDefault="00241181" w14:paraId="16E90048" w14:textId="77777777">
            <w:pPr>
              <w:pStyle w:val="TableText"/>
              <w:keepLines w:val="0"/>
            </w:pPr>
            <w:r>
              <w:rPr>
                <w:rFonts w:hint="cs"/>
                <w:rtl/>
              </w:rPr>
              <w:t>1.</w:t>
            </w:r>
          </w:p>
        </w:tc>
        <w:tc>
          <w:tcPr>
            <w:tcW w:w="7143" w:type="dxa"/>
            <w:gridSpan w:val="3"/>
          </w:tcPr>
          <w:p w:rsidRPr="00C34DE2" w:rsidR="00241181" w:rsidP="00547A5F" w:rsidRDefault="00241181" w14:paraId="03BC770B" w14:textId="77777777">
            <w:pPr>
              <w:pStyle w:val="TableBlock"/>
            </w:pPr>
            <w:r w:rsidRPr="00867796">
              <w:rPr>
                <w:rFonts w:hint="cs"/>
                <w:rtl/>
              </w:rPr>
              <w:t>בחוק סדר הדין הפלילי [נוסח משולב], התשמ"ב–</w:t>
            </w:r>
            <w:r>
              <w:rPr>
                <w:rFonts w:hint="cs"/>
                <w:rtl/>
              </w:rPr>
              <w:t>1982</w:t>
            </w:r>
            <w:r>
              <w:rPr>
                <w:rStyle w:val="a6"/>
                <w:rtl/>
              </w:rPr>
              <w:footnoteReference w:id="2"/>
            </w:r>
            <w:r>
              <w:rPr>
                <w:rFonts w:hint="cs"/>
                <w:rtl/>
              </w:rPr>
              <w:t xml:space="preserve">, בסעיף 240 – </w:t>
            </w:r>
          </w:p>
        </w:tc>
      </w:tr>
      <w:tr w:rsidR="00241181" w:rsidTr="00547A5F" w14:paraId="505D85FA" w14:textId="77777777">
        <w:trPr>
          <w:cantSplit/>
        </w:trPr>
        <w:tc>
          <w:tcPr>
            <w:tcW w:w="1871" w:type="dxa"/>
          </w:tcPr>
          <w:p w:rsidR="00241181" w:rsidP="00547A5F" w:rsidRDefault="00241181" w14:paraId="6B3D64B0" w14:textId="77777777">
            <w:pPr>
              <w:pStyle w:val="TableSideHeading"/>
              <w:keepLines w:val="0"/>
              <w:rPr>
                <w:rtl/>
              </w:rPr>
            </w:pPr>
          </w:p>
        </w:tc>
        <w:tc>
          <w:tcPr>
            <w:tcW w:w="624" w:type="dxa"/>
          </w:tcPr>
          <w:p w:rsidR="00241181" w:rsidP="00547A5F" w:rsidRDefault="00241181" w14:paraId="2D4CADFF" w14:textId="77777777">
            <w:pPr>
              <w:pStyle w:val="TableText"/>
              <w:rPr>
                <w:rtl/>
              </w:rPr>
            </w:pPr>
          </w:p>
        </w:tc>
        <w:tc>
          <w:tcPr>
            <w:tcW w:w="7143" w:type="dxa"/>
            <w:gridSpan w:val="3"/>
          </w:tcPr>
          <w:p w:rsidR="00241181" w:rsidP="00547A5F" w:rsidRDefault="00241181" w14:paraId="71BBE56D" w14:textId="77777777">
            <w:pPr>
              <w:pStyle w:val="TableBlock"/>
              <w:rPr>
                <w:rtl/>
              </w:rPr>
            </w:pPr>
            <w:r>
              <w:rPr>
                <w:rFonts w:hint="cs"/>
                <w:rtl/>
              </w:rPr>
              <w:t>(1)</w:t>
            </w:r>
            <w:r>
              <w:rPr>
                <w:rtl/>
              </w:rPr>
              <w:tab/>
            </w:r>
            <w:r>
              <w:rPr>
                <w:rFonts w:hint="cs"/>
                <w:rtl/>
              </w:rPr>
              <w:t>אחרי סעיף קטן (א) יבוא:</w:t>
            </w:r>
          </w:p>
        </w:tc>
      </w:tr>
      <w:tr w:rsidR="00241181" w:rsidTr="00547A5F" w14:paraId="02E16CD3" w14:textId="77777777">
        <w:trPr>
          <w:cantSplit/>
        </w:trPr>
        <w:tc>
          <w:tcPr>
            <w:tcW w:w="1871" w:type="dxa"/>
          </w:tcPr>
          <w:p w:rsidR="00241181" w:rsidP="00547A5F" w:rsidRDefault="00241181" w14:paraId="2EE99992" w14:textId="77777777">
            <w:pPr>
              <w:pStyle w:val="TableSideHeading"/>
            </w:pPr>
          </w:p>
        </w:tc>
        <w:tc>
          <w:tcPr>
            <w:tcW w:w="624" w:type="dxa"/>
          </w:tcPr>
          <w:p w:rsidR="00241181" w:rsidP="00547A5F" w:rsidRDefault="00241181" w14:paraId="52B53008" w14:textId="77777777">
            <w:pPr>
              <w:pStyle w:val="TableText"/>
            </w:pPr>
          </w:p>
        </w:tc>
        <w:tc>
          <w:tcPr>
            <w:tcW w:w="624" w:type="dxa"/>
          </w:tcPr>
          <w:p w:rsidR="00241181" w:rsidP="00547A5F" w:rsidRDefault="00241181" w14:paraId="0C009361" w14:textId="77777777">
            <w:pPr>
              <w:pStyle w:val="TableText"/>
            </w:pPr>
          </w:p>
        </w:tc>
        <w:tc>
          <w:tcPr>
            <w:tcW w:w="6519" w:type="dxa"/>
            <w:gridSpan w:val="2"/>
          </w:tcPr>
          <w:p w:rsidR="00241181" w:rsidP="00547A5F" w:rsidRDefault="00241181" w14:paraId="0D229601" w14:textId="77777777">
            <w:pPr>
              <w:pStyle w:val="TableBlock"/>
            </w:pPr>
            <w:r>
              <w:rPr>
                <w:rFonts w:hint="cs"/>
                <w:rtl/>
              </w:rPr>
              <w:t>"</w:t>
            </w:r>
            <w:r w:rsidRPr="00C23F1E">
              <w:rPr>
                <w:rFonts w:hint="cs"/>
                <w:rtl/>
              </w:rPr>
              <w:t>(א1)</w:t>
            </w:r>
            <w:r w:rsidRPr="00C23F1E">
              <w:rPr>
                <w:rtl/>
              </w:rPr>
              <w:tab/>
              <w:t>נ</w:t>
            </w:r>
            <w:r w:rsidRPr="00C23F1E">
              <w:rPr>
                <w:rFonts w:hint="cs"/>
                <w:rtl/>
              </w:rPr>
              <w:t>גז</w:t>
            </w:r>
            <w:r w:rsidRPr="00C23F1E">
              <w:rPr>
                <w:rtl/>
              </w:rPr>
              <w:t>ר ד</w:t>
            </w:r>
            <w:r w:rsidRPr="00C23F1E">
              <w:rPr>
                <w:rFonts w:hint="cs"/>
                <w:rtl/>
              </w:rPr>
              <w:t>ינו של הנאשם כאמור בסעיף זה, רשא</w:t>
            </w:r>
            <w:r w:rsidRPr="00C23F1E">
              <w:rPr>
                <w:rtl/>
              </w:rPr>
              <w:t>י בי</w:t>
            </w:r>
            <w:r w:rsidRPr="00C23F1E">
              <w:rPr>
                <w:rFonts w:hint="cs"/>
                <w:rtl/>
              </w:rPr>
              <w:t>ת המשפט, על פי בקשת הנידון</w:t>
            </w:r>
            <w:r w:rsidRPr="00C23F1E">
              <w:rPr>
                <w:rtl/>
              </w:rPr>
              <w:t xml:space="preserve">, </w:t>
            </w:r>
            <w:r w:rsidRPr="00C23F1E">
              <w:rPr>
                <w:rFonts w:hint="cs"/>
                <w:rtl/>
              </w:rPr>
              <w:t>לבט</w:t>
            </w:r>
            <w:r w:rsidRPr="00C23F1E">
              <w:rPr>
                <w:rtl/>
              </w:rPr>
              <w:t>ל</w:t>
            </w:r>
            <w:r w:rsidRPr="00C23F1E">
              <w:rPr>
                <w:rFonts w:hint="cs"/>
                <w:rtl/>
              </w:rPr>
              <w:t xml:space="preserve"> את הדיון לרבות את הכרעת הדין וגזר הדין אם ניתנו בה</w:t>
            </w:r>
            <w:r>
              <w:rPr>
                <w:rFonts w:hint="cs"/>
                <w:rtl/>
              </w:rPr>
              <w:t>י</w:t>
            </w:r>
            <w:r w:rsidRPr="00C23F1E">
              <w:rPr>
                <w:rFonts w:hint="cs"/>
                <w:rtl/>
              </w:rPr>
              <w:t>עדרו, אם התקיימו אחד מאלה:</w:t>
            </w:r>
          </w:p>
        </w:tc>
      </w:tr>
      <w:tr w:rsidR="00241181" w:rsidTr="00547A5F" w14:paraId="151CA5D1" w14:textId="77777777">
        <w:trPr>
          <w:cantSplit/>
        </w:trPr>
        <w:tc>
          <w:tcPr>
            <w:tcW w:w="1871" w:type="dxa"/>
          </w:tcPr>
          <w:p w:rsidR="00241181" w:rsidP="00547A5F" w:rsidRDefault="00241181" w14:paraId="1D188092" w14:textId="77777777">
            <w:pPr>
              <w:pStyle w:val="TableSideHeading"/>
            </w:pPr>
          </w:p>
        </w:tc>
        <w:tc>
          <w:tcPr>
            <w:tcW w:w="624" w:type="dxa"/>
          </w:tcPr>
          <w:p w:rsidR="00241181" w:rsidP="00547A5F" w:rsidRDefault="00241181" w14:paraId="50091112" w14:textId="77777777">
            <w:pPr>
              <w:pStyle w:val="TableText"/>
            </w:pPr>
          </w:p>
        </w:tc>
        <w:tc>
          <w:tcPr>
            <w:tcW w:w="624" w:type="dxa"/>
          </w:tcPr>
          <w:p w:rsidR="00241181" w:rsidP="00547A5F" w:rsidRDefault="00241181" w14:paraId="06E0BA95" w14:textId="77777777">
            <w:pPr>
              <w:pStyle w:val="TableText"/>
            </w:pPr>
          </w:p>
        </w:tc>
        <w:tc>
          <w:tcPr>
            <w:tcW w:w="624" w:type="dxa"/>
          </w:tcPr>
          <w:p w:rsidR="00241181" w:rsidP="00547A5F" w:rsidRDefault="00241181" w14:paraId="76628DD7" w14:textId="77777777">
            <w:pPr>
              <w:pStyle w:val="TableText"/>
            </w:pPr>
          </w:p>
        </w:tc>
        <w:tc>
          <w:tcPr>
            <w:tcW w:w="5895" w:type="dxa"/>
          </w:tcPr>
          <w:p w:rsidR="00241181" w:rsidP="00547A5F" w:rsidRDefault="00241181" w14:paraId="3DE85549" w14:textId="77777777">
            <w:pPr>
              <w:pStyle w:val="TableBlock"/>
            </w:pPr>
            <w:r w:rsidRPr="00C23F1E">
              <w:rPr>
                <w:rFonts w:hint="cs"/>
                <w:rtl/>
              </w:rPr>
              <w:t>(1)</w:t>
            </w:r>
            <w:r w:rsidRPr="00C23F1E">
              <w:rPr>
                <w:rtl/>
              </w:rPr>
              <w:tab/>
            </w:r>
            <w:r w:rsidRPr="00C23F1E">
              <w:rPr>
                <w:rFonts w:hint="cs"/>
                <w:rtl/>
              </w:rPr>
              <w:t>בית המשפט נוכח שהיתה סיבה מוצדקת לאי התייצבותו;</w:t>
            </w:r>
          </w:p>
        </w:tc>
      </w:tr>
      <w:tr w:rsidRPr="00C23F1E" w:rsidR="00241181" w:rsidTr="00547A5F" w14:paraId="49A6F8CD" w14:textId="77777777">
        <w:trPr>
          <w:cantSplit/>
        </w:trPr>
        <w:tc>
          <w:tcPr>
            <w:tcW w:w="1871" w:type="dxa"/>
          </w:tcPr>
          <w:p w:rsidR="00241181" w:rsidP="00547A5F" w:rsidRDefault="00241181" w14:paraId="071203AB" w14:textId="77777777">
            <w:pPr>
              <w:pStyle w:val="TableSideHeading"/>
            </w:pPr>
          </w:p>
        </w:tc>
        <w:tc>
          <w:tcPr>
            <w:tcW w:w="624" w:type="dxa"/>
          </w:tcPr>
          <w:p w:rsidR="00241181" w:rsidP="00547A5F" w:rsidRDefault="00241181" w14:paraId="59236833" w14:textId="77777777">
            <w:pPr>
              <w:pStyle w:val="TableText"/>
            </w:pPr>
          </w:p>
        </w:tc>
        <w:tc>
          <w:tcPr>
            <w:tcW w:w="624" w:type="dxa"/>
          </w:tcPr>
          <w:p w:rsidR="00241181" w:rsidP="00547A5F" w:rsidRDefault="00241181" w14:paraId="3E614565" w14:textId="77777777">
            <w:pPr>
              <w:pStyle w:val="TableText"/>
            </w:pPr>
          </w:p>
        </w:tc>
        <w:tc>
          <w:tcPr>
            <w:tcW w:w="624" w:type="dxa"/>
          </w:tcPr>
          <w:p w:rsidR="00241181" w:rsidP="00547A5F" w:rsidRDefault="00241181" w14:paraId="34AFF781" w14:textId="77777777">
            <w:pPr>
              <w:pStyle w:val="TableText"/>
            </w:pPr>
          </w:p>
        </w:tc>
        <w:tc>
          <w:tcPr>
            <w:tcW w:w="5895" w:type="dxa"/>
          </w:tcPr>
          <w:p w:rsidRPr="00C23F1E" w:rsidR="00241181" w:rsidP="00547A5F" w:rsidRDefault="00241181" w14:paraId="5DB6D219" w14:textId="77777777">
            <w:pPr>
              <w:pStyle w:val="TableBlock"/>
              <w:rPr>
                <w:rtl/>
              </w:rPr>
            </w:pPr>
            <w:r w:rsidRPr="00C23F1E">
              <w:rPr>
                <w:rFonts w:hint="cs"/>
                <w:rtl/>
              </w:rPr>
              <w:t>(2)</w:t>
            </w:r>
            <w:r w:rsidRPr="00C23F1E">
              <w:rPr>
                <w:rtl/>
              </w:rPr>
              <w:tab/>
            </w:r>
            <w:r w:rsidRPr="00C23F1E">
              <w:rPr>
                <w:rFonts w:hint="cs"/>
                <w:rtl/>
              </w:rPr>
              <w:t>בית המשפט נוכח שהדבר דרוש כדי למנוע עיוות דין;</w:t>
            </w:r>
          </w:p>
        </w:tc>
      </w:tr>
      <w:tr w:rsidRPr="00C23F1E" w:rsidR="00241181" w:rsidTr="00547A5F" w14:paraId="4DC63565" w14:textId="77777777">
        <w:trPr>
          <w:cantSplit/>
        </w:trPr>
        <w:tc>
          <w:tcPr>
            <w:tcW w:w="1871" w:type="dxa"/>
          </w:tcPr>
          <w:p w:rsidR="00241181" w:rsidP="00547A5F" w:rsidRDefault="00241181" w14:paraId="25A3A3A5" w14:textId="77777777">
            <w:pPr>
              <w:pStyle w:val="TableSideHeading"/>
            </w:pPr>
          </w:p>
        </w:tc>
        <w:tc>
          <w:tcPr>
            <w:tcW w:w="624" w:type="dxa"/>
          </w:tcPr>
          <w:p w:rsidR="00241181" w:rsidP="00547A5F" w:rsidRDefault="00241181" w14:paraId="11C9BC3F" w14:textId="77777777">
            <w:pPr>
              <w:pStyle w:val="TableText"/>
            </w:pPr>
          </w:p>
        </w:tc>
        <w:tc>
          <w:tcPr>
            <w:tcW w:w="624" w:type="dxa"/>
          </w:tcPr>
          <w:p w:rsidR="00241181" w:rsidP="00547A5F" w:rsidRDefault="00241181" w14:paraId="0347856C" w14:textId="77777777">
            <w:pPr>
              <w:pStyle w:val="TableText"/>
            </w:pPr>
          </w:p>
        </w:tc>
        <w:tc>
          <w:tcPr>
            <w:tcW w:w="624" w:type="dxa"/>
          </w:tcPr>
          <w:p w:rsidR="00241181" w:rsidP="00547A5F" w:rsidRDefault="00241181" w14:paraId="69D62D1D" w14:textId="77777777">
            <w:pPr>
              <w:pStyle w:val="TableText"/>
            </w:pPr>
          </w:p>
        </w:tc>
        <w:tc>
          <w:tcPr>
            <w:tcW w:w="5895" w:type="dxa"/>
          </w:tcPr>
          <w:p w:rsidRPr="00C23F1E" w:rsidR="00241181" w:rsidP="00547A5F" w:rsidRDefault="00241181" w14:paraId="588DAA2C" w14:textId="77777777">
            <w:pPr>
              <w:pStyle w:val="TableBlock"/>
              <w:rPr>
                <w:rtl/>
              </w:rPr>
            </w:pPr>
            <w:r w:rsidRPr="00C23F1E">
              <w:rPr>
                <w:rFonts w:hint="cs"/>
                <w:rtl/>
              </w:rPr>
              <w:t>(3)</w:t>
            </w:r>
            <w:r w:rsidRPr="00C23F1E">
              <w:rPr>
                <w:rtl/>
              </w:rPr>
              <w:tab/>
            </w:r>
            <w:r w:rsidRPr="00C23F1E">
              <w:rPr>
                <w:rFonts w:hint="cs"/>
                <w:rtl/>
              </w:rPr>
              <w:t xml:space="preserve">הנאשם הודיע כי הוא כופר בכתב האישום או בחלק ממנו </w:t>
            </w:r>
            <w:r>
              <w:rPr>
                <w:rFonts w:hint="cs"/>
                <w:rtl/>
              </w:rPr>
              <w:t>והמציא ראיות לכך שיש אפשרות סבירה שתוצאות פסק הדין ישתנו;</w:t>
            </w:r>
          </w:p>
        </w:tc>
      </w:tr>
      <w:tr w:rsidRPr="00C23F1E" w:rsidR="00241181" w:rsidTr="00547A5F" w14:paraId="779C4B17" w14:textId="77777777">
        <w:trPr>
          <w:cantSplit/>
        </w:trPr>
        <w:tc>
          <w:tcPr>
            <w:tcW w:w="1871" w:type="dxa"/>
          </w:tcPr>
          <w:p w:rsidR="00241181" w:rsidP="00547A5F" w:rsidRDefault="00241181" w14:paraId="47FB549C" w14:textId="77777777">
            <w:pPr>
              <w:pStyle w:val="TableSideHeading"/>
            </w:pPr>
          </w:p>
        </w:tc>
        <w:tc>
          <w:tcPr>
            <w:tcW w:w="624" w:type="dxa"/>
          </w:tcPr>
          <w:p w:rsidR="00241181" w:rsidP="00547A5F" w:rsidRDefault="00241181" w14:paraId="0FE9B440" w14:textId="77777777">
            <w:pPr>
              <w:pStyle w:val="TableText"/>
            </w:pPr>
          </w:p>
        </w:tc>
        <w:tc>
          <w:tcPr>
            <w:tcW w:w="624" w:type="dxa"/>
          </w:tcPr>
          <w:p w:rsidR="00241181" w:rsidP="00547A5F" w:rsidRDefault="00241181" w14:paraId="13B4AAFB" w14:textId="77777777">
            <w:pPr>
              <w:pStyle w:val="TableText"/>
            </w:pPr>
          </w:p>
        </w:tc>
        <w:tc>
          <w:tcPr>
            <w:tcW w:w="624" w:type="dxa"/>
          </w:tcPr>
          <w:p w:rsidR="00241181" w:rsidP="00547A5F" w:rsidRDefault="00241181" w14:paraId="15102DB6" w14:textId="77777777">
            <w:pPr>
              <w:pStyle w:val="TableText"/>
            </w:pPr>
          </w:p>
        </w:tc>
        <w:tc>
          <w:tcPr>
            <w:tcW w:w="5895" w:type="dxa"/>
          </w:tcPr>
          <w:p w:rsidRPr="00C23F1E" w:rsidR="00241181" w:rsidP="00547A5F" w:rsidRDefault="00241181" w14:paraId="28B66062" w14:textId="77777777">
            <w:pPr>
              <w:pStyle w:val="TableBlock"/>
              <w:rPr>
                <w:rtl/>
              </w:rPr>
            </w:pPr>
            <w:r w:rsidRPr="00C23F1E">
              <w:rPr>
                <w:rFonts w:hint="cs"/>
                <w:rtl/>
              </w:rPr>
              <w:t>(4)</w:t>
            </w:r>
            <w:r w:rsidRPr="00C23F1E">
              <w:rPr>
                <w:rtl/>
              </w:rPr>
              <w:tab/>
            </w:r>
            <w:r w:rsidRPr="00C23F1E">
              <w:rPr>
                <w:rFonts w:hint="cs"/>
                <w:rtl/>
              </w:rPr>
              <w:t>בית המשפט נוכח כי העונש שהוטל עליו בה</w:t>
            </w:r>
            <w:r>
              <w:rPr>
                <w:rFonts w:hint="cs"/>
                <w:rtl/>
              </w:rPr>
              <w:t>י</w:t>
            </w:r>
            <w:r w:rsidRPr="00C23F1E">
              <w:rPr>
                <w:rFonts w:hint="cs"/>
                <w:rtl/>
              </w:rPr>
              <w:t>עדרו היה חמור ויש להקל בו או שיש מקום לבחון את חומרת העונש לאור הנסיבות האישיות המיוחדות שהציג הנאשם בבקשתו</w:t>
            </w:r>
            <w:r>
              <w:rPr>
                <w:rFonts w:hint="cs"/>
                <w:rtl/>
              </w:rPr>
              <w:t>.</w:t>
            </w:r>
          </w:p>
        </w:tc>
      </w:tr>
      <w:tr w:rsidRPr="00C23F1E" w:rsidR="00241181" w:rsidTr="00547A5F" w14:paraId="4BEB05B6" w14:textId="77777777">
        <w:trPr>
          <w:cantSplit/>
        </w:trPr>
        <w:tc>
          <w:tcPr>
            <w:tcW w:w="1871" w:type="dxa"/>
          </w:tcPr>
          <w:p w:rsidR="00241181" w:rsidP="00547A5F" w:rsidRDefault="00241181" w14:paraId="41F9BA1A" w14:textId="77777777">
            <w:pPr>
              <w:pStyle w:val="TableSideHeading"/>
            </w:pPr>
          </w:p>
        </w:tc>
        <w:tc>
          <w:tcPr>
            <w:tcW w:w="624" w:type="dxa"/>
          </w:tcPr>
          <w:p w:rsidR="00241181" w:rsidP="00547A5F" w:rsidRDefault="00241181" w14:paraId="24653DF4" w14:textId="77777777">
            <w:pPr>
              <w:pStyle w:val="TableText"/>
            </w:pPr>
          </w:p>
        </w:tc>
        <w:tc>
          <w:tcPr>
            <w:tcW w:w="624" w:type="dxa"/>
          </w:tcPr>
          <w:p w:rsidR="00241181" w:rsidP="00547A5F" w:rsidRDefault="00241181" w14:paraId="5B06908E" w14:textId="77777777">
            <w:pPr>
              <w:pStyle w:val="TableText"/>
            </w:pPr>
          </w:p>
        </w:tc>
        <w:tc>
          <w:tcPr>
            <w:tcW w:w="6519" w:type="dxa"/>
            <w:gridSpan w:val="2"/>
          </w:tcPr>
          <w:p w:rsidRPr="00C23F1E" w:rsidR="00241181" w:rsidP="00547A5F" w:rsidRDefault="00241181" w14:paraId="25E48C67" w14:textId="77777777">
            <w:pPr>
              <w:pStyle w:val="TableBlock"/>
            </w:pPr>
            <w:r w:rsidRPr="00C23F1E">
              <w:rPr>
                <w:rFonts w:hint="cs"/>
                <w:rtl/>
              </w:rPr>
              <w:t>(א2)</w:t>
            </w:r>
            <w:r w:rsidRPr="00C23F1E">
              <w:rPr>
                <w:rFonts w:hint="cs"/>
                <w:rtl/>
              </w:rPr>
              <w:tab/>
            </w:r>
            <w:r w:rsidRPr="00C23F1E">
              <w:rPr>
                <w:rtl/>
              </w:rPr>
              <w:t>ב</w:t>
            </w:r>
            <w:r w:rsidRPr="00C23F1E">
              <w:rPr>
                <w:rFonts w:hint="cs"/>
                <w:rtl/>
              </w:rPr>
              <w:t>ק</w:t>
            </w:r>
            <w:r w:rsidRPr="00C23F1E">
              <w:rPr>
                <w:rtl/>
              </w:rPr>
              <w:t>ש</w:t>
            </w:r>
            <w:r w:rsidRPr="00C23F1E">
              <w:rPr>
                <w:rFonts w:hint="cs"/>
                <w:rtl/>
              </w:rPr>
              <w:t xml:space="preserve">ה לפי סעיף קטן </w:t>
            </w:r>
            <w:r>
              <w:rPr>
                <w:rFonts w:hint="cs"/>
                <w:rtl/>
              </w:rPr>
              <w:t xml:space="preserve">(א1) </w:t>
            </w:r>
            <w:r w:rsidRPr="00C23F1E">
              <w:rPr>
                <w:rFonts w:hint="cs"/>
                <w:rtl/>
              </w:rPr>
              <w:t>תו</w:t>
            </w:r>
            <w:r w:rsidRPr="00C23F1E">
              <w:rPr>
                <w:rtl/>
              </w:rPr>
              <w:t>גש</w:t>
            </w:r>
            <w:r w:rsidRPr="00C23F1E">
              <w:rPr>
                <w:rFonts w:hint="cs"/>
                <w:rtl/>
              </w:rPr>
              <w:t xml:space="preserve"> </w:t>
            </w:r>
            <w:r>
              <w:rPr>
                <w:rFonts w:hint="cs"/>
                <w:rtl/>
              </w:rPr>
              <w:t>ב</w:t>
            </w:r>
            <w:r w:rsidRPr="00C23F1E">
              <w:rPr>
                <w:rFonts w:hint="cs"/>
                <w:rtl/>
              </w:rPr>
              <w:t>ת</w:t>
            </w:r>
            <w:r w:rsidRPr="00C23F1E">
              <w:rPr>
                <w:rtl/>
              </w:rPr>
              <w:t>וך</w:t>
            </w:r>
            <w:r w:rsidRPr="00C23F1E">
              <w:rPr>
                <w:rFonts w:hint="cs"/>
                <w:rtl/>
              </w:rPr>
              <w:t xml:space="preserve"> שלושים ימ</w:t>
            </w:r>
            <w:r w:rsidRPr="00C23F1E">
              <w:rPr>
                <w:rtl/>
              </w:rPr>
              <w:t>י</w:t>
            </w:r>
            <w:r w:rsidRPr="00C23F1E">
              <w:rPr>
                <w:rFonts w:hint="cs"/>
                <w:rtl/>
              </w:rPr>
              <w:t>ם מהיום שהומצא לנאשם פסק הדין</w:t>
            </w:r>
            <w:r>
              <w:rPr>
                <w:rFonts w:hint="cs"/>
                <w:rtl/>
              </w:rPr>
              <w:t>,</w:t>
            </w:r>
            <w:r w:rsidRPr="00C23F1E">
              <w:rPr>
                <w:rFonts w:hint="cs"/>
                <w:rtl/>
              </w:rPr>
              <w:t xml:space="preserve"> אולם רשאי ב</w:t>
            </w:r>
            <w:r w:rsidRPr="00C23F1E">
              <w:rPr>
                <w:rtl/>
              </w:rPr>
              <w:t>ית ה</w:t>
            </w:r>
            <w:r w:rsidRPr="00C23F1E">
              <w:rPr>
                <w:rFonts w:hint="cs"/>
                <w:rtl/>
              </w:rPr>
              <w:t>משפט לדון בבקשה שהוגשה לאח</w:t>
            </w:r>
            <w:r w:rsidRPr="00C23F1E">
              <w:rPr>
                <w:rtl/>
              </w:rPr>
              <w:t>ר</w:t>
            </w:r>
            <w:r w:rsidRPr="00C23F1E">
              <w:rPr>
                <w:rFonts w:hint="cs"/>
                <w:rtl/>
              </w:rPr>
              <w:t xml:space="preserve"> מו</w:t>
            </w:r>
            <w:r w:rsidRPr="00C23F1E">
              <w:rPr>
                <w:rtl/>
              </w:rPr>
              <w:t>ע</w:t>
            </w:r>
            <w:r w:rsidRPr="00C23F1E">
              <w:rPr>
                <w:rFonts w:hint="cs"/>
                <w:rtl/>
              </w:rPr>
              <w:t>ד זה מטעמים שיירשמו.</w:t>
            </w:r>
          </w:p>
        </w:tc>
      </w:tr>
      <w:tr w:rsidRPr="00C23F1E" w:rsidR="00241181" w:rsidTr="00547A5F" w14:paraId="5A19E37E" w14:textId="77777777">
        <w:trPr>
          <w:cantSplit/>
        </w:trPr>
        <w:tc>
          <w:tcPr>
            <w:tcW w:w="1871" w:type="dxa"/>
          </w:tcPr>
          <w:p w:rsidR="00241181" w:rsidP="00547A5F" w:rsidRDefault="00241181" w14:paraId="1246FD19" w14:textId="77777777">
            <w:pPr>
              <w:pStyle w:val="TableSideHeading"/>
            </w:pPr>
          </w:p>
        </w:tc>
        <w:tc>
          <w:tcPr>
            <w:tcW w:w="624" w:type="dxa"/>
          </w:tcPr>
          <w:p w:rsidR="00241181" w:rsidP="00547A5F" w:rsidRDefault="00241181" w14:paraId="486863BA" w14:textId="77777777">
            <w:pPr>
              <w:pStyle w:val="TableText"/>
            </w:pPr>
          </w:p>
        </w:tc>
        <w:tc>
          <w:tcPr>
            <w:tcW w:w="624" w:type="dxa"/>
          </w:tcPr>
          <w:p w:rsidR="00241181" w:rsidP="00547A5F" w:rsidRDefault="00241181" w14:paraId="67C6A086" w14:textId="77777777">
            <w:pPr>
              <w:pStyle w:val="TableText"/>
            </w:pPr>
          </w:p>
        </w:tc>
        <w:tc>
          <w:tcPr>
            <w:tcW w:w="6519" w:type="dxa"/>
            <w:gridSpan w:val="2"/>
          </w:tcPr>
          <w:p w:rsidRPr="00C23F1E" w:rsidR="00241181" w:rsidP="00547A5F" w:rsidRDefault="00241181" w14:paraId="4A09193C" w14:textId="77777777">
            <w:pPr>
              <w:pStyle w:val="TableBlock"/>
              <w:rPr>
                <w:rtl/>
              </w:rPr>
            </w:pPr>
            <w:r w:rsidRPr="00C23F1E">
              <w:rPr>
                <w:rFonts w:hint="cs"/>
                <w:rtl/>
              </w:rPr>
              <w:t>(א</w:t>
            </w:r>
            <w:r>
              <w:rPr>
                <w:rFonts w:hint="cs"/>
                <w:rtl/>
              </w:rPr>
              <w:t>3</w:t>
            </w:r>
            <w:r w:rsidRPr="00C23F1E">
              <w:rPr>
                <w:rFonts w:hint="cs"/>
                <w:rtl/>
              </w:rPr>
              <w:t>)</w:t>
            </w:r>
            <w:r w:rsidRPr="00C23F1E">
              <w:rPr>
                <w:rFonts w:hint="cs"/>
                <w:rtl/>
              </w:rPr>
              <w:tab/>
              <w:t xml:space="preserve">דיון בבקשה כאמור </w:t>
            </w:r>
            <w:r>
              <w:rPr>
                <w:rFonts w:hint="cs"/>
                <w:rtl/>
              </w:rPr>
              <w:t>בסעיף קטן (א1) י</w:t>
            </w:r>
            <w:r w:rsidRPr="00C23F1E">
              <w:rPr>
                <w:rFonts w:hint="cs"/>
                <w:rtl/>
              </w:rPr>
              <w:t xml:space="preserve">יערך בנוכחותו של הנאשם, ובנוכחות התובע אם ביקש להצטרף כמשיב לבקשה, אולם בית המשפט רשאי לדחות את הבקשה </w:t>
            </w:r>
            <w:r>
              <w:rPr>
                <w:rFonts w:hint="cs"/>
                <w:rtl/>
              </w:rPr>
              <w:t>בלי</w:t>
            </w:r>
            <w:r w:rsidRPr="00C23F1E">
              <w:rPr>
                <w:rFonts w:hint="cs"/>
                <w:rtl/>
              </w:rPr>
              <w:t xml:space="preserve"> </w:t>
            </w:r>
            <w:r>
              <w:rPr>
                <w:rFonts w:hint="cs"/>
                <w:rtl/>
              </w:rPr>
              <w:t>ל</w:t>
            </w:r>
            <w:r w:rsidRPr="00C23F1E">
              <w:rPr>
                <w:rFonts w:hint="cs"/>
                <w:rtl/>
              </w:rPr>
              <w:t>קיים דיון בנוכחות הצדדים אם ראה כי בקשתו בכתב של הנאשם לא מקימה את אחד מהתנאים בסעיף קטן (א1), או אם החליט לקבל את בקשתו של הנאשם.</w:t>
            </w:r>
            <w:r>
              <w:rPr>
                <w:rFonts w:hint="cs"/>
                <w:rtl/>
              </w:rPr>
              <w:t>";</w:t>
            </w:r>
          </w:p>
        </w:tc>
      </w:tr>
      <w:tr w:rsidRPr="00C34DE2" w:rsidR="00241181" w:rsidTr="00547A5F" w14:paraId="22ED71C2" w14:textId="77777777">
        <w:trPr>
          <w:cantSplit/>
        </w:trPr>
        <w:tc>
          <w:tcPr>
            <w:tcW w:w="1871" w:type="dxa"/>
          </w:tcPr>
          <w:p w:rsidR="00241181" w:rsidP="00547A5F" w:rsidRDefault="00241181" w14:paraId="2E394AAA" w14:textId="77777777">
            <w:pPr>
              <w:pStyle w:val="TableSideHeading"/>
            </w:pPr>
          </w:p>
        </w:tc>
        <w:tc>
          <w:tcPr>
            <w:tcW w:w="624" w:type="dxa"/>
          </w:tcPr>
          <w:p w:rsidR="00241181" w:rsidP="00547A5F" w:rsidRDefault="00241181" w14:paraId="66F23931" w14:textId="77777777">
            <w:pPr>
              <w:pStyle w:val="TableText"/>
            </w:pPr>
          </w:p>
        </w:tc>
        <w:tc>
          <w:tcPr>
            <w:tcW w:w="7143" w:type="dxa"/>
            <w:gridSpan w:val="3"/>
          </w:tcPr>
          <w:p w:rsidRPr="00C34DE2" w:rsidR="00241181" w:rsidP="00547A5F" w:rsidRDefault="00241181" w14:paraId="7588FA0B" w14:textId="77777777">
            <w:pPr>
              <w:pStyle w:val="TableBlock"/>
            </w:pPr>
            <w:r>
              <w:rPr>
                <w:rFonts w:hint="cs"/>
                <w:rtl/>
              </w:rPr>
              <w:t>(2)</w:t>
            </w:r>
            <w:r>
              <w:rPr>
                <w:rtl/>
              </w:rPr>
              <w:tab/>
            </w:r>
            <w:r>
              <w:rPr>
                <w:rFonts w:hint="cs"/>
                <w:rtl/>
              </w:rPr>
              <w:t>בסעיף קטן (ב), במקום "(ח) ו-(ט)" יבוא "(ט)".</w:t>
            </w:r>
          </w:p>
        </w:tc>
      </w:tr>
    </w:tbl>
    <w:p w:rsidR="00241181" w:rsidP="00241181" w:rsidRDefault="00241181" w14:paraId="0A31D966" w14:textId="77777777">
      <w:pPr>
        <w:pStyle w:val="HeadDivreiHesber"/>
        <w:rPr>
          <w:rtl/>
        </w:rPr>
      </w:pPr>
      <w:r w:rsidRPr="0027450A">
        <w:rPr>
          <w:rFonts w:hint="cs"/>
          <w:rtl/>
        </w:rPr>
        <w:t>דברי הסבר</w:t>
      </w:r>
    </w:p>
    <w:p w:rsidRPr="00906B85" w:rsidR="00241181" w:rsidP="00906B85" w:rsidRDefault="00241181" w14:paraId="356DE131" w14:textId="77777777">
      <w:pPr>
        <w:pStyle w:val="Hesber"/>
        <w:rPr>
          <w:rtl/>
        </w:rPr>
      </w:pPr>
      <w:r w:rsidRPr="00906B85">
        <w:rPr>
          <w:rFonts w:hint="cs"/>
          <w:rtl/>
        </w:rPr>
        <w:t>הוראות סעיף 240 לחוק סדר הדין הפלילי [נוסח משולב], התשמ"ב–1982, מאפשרות לבית המשפט לדון נאשם בעבירות לפי פקודת התעבורה [נוסח משולב] (להלן – פקודת התעבורה), ופקודת ביטוח רכב מנועי [נוסח משולב], התש"ל–1970, שלא גרמו לתאונת דרכים שבה נחבל אדם חבלה של ממש, ולשפוט אותו בהיעדרו.</w:t>
      </w:r>
    </w:p>
    <w:p w:rsidRPr="00906B85" w:rsidR="00241181" w:rsidP="00906B85" w:rsidRDefault="00241181" w14:paraId="5364E50C" w14:textId="77777777">
      <w:pPr>
        <w:pStyle w:val="Hesber"/>
        <w:rPr>
          <w:rtl/>
        </w:rPr>
      </w:pPr>
      <w:r w:rsidRPr="00906B85">
        <w:rPr>
          <w:rFonts w:hint="cs"/>
          <w:rtl/>
        </w:rPr>
        <w:t>במסגרת זו ניתן לשפוט אדם בעבירות שבהן נגזרים עונשי</w:t>
      </w:r>
      <w:r w:rsidRPr="00906B85">
        <w:rPr>
          <w:rFonts w:hint="eastAsia"/>
          <w:rtl/>
        </w:rPr>
        <w:t>ם</w:t>
      </w:r>
      <w:r w:rsidRPr="00906B85">
        <w:rPr>
          <w:rFonts w:hint="cs"/>
          <w:rtl/>
        </w:rPr>
        <w:t xml:space="preserve"> חמורים הן בשל הלכות פסוקות והן בשל הוראות החוק המחייבות הטלות עונשי</w:t>
      </w:r>
      <w:r w:rsidRPr="00906B85">
        <w:rPr>
          <w:rFonts w:hint="eastAsia"/>
          <w:rtl/>
        </w:rPr>
        <w:t>ם</w:t>
      </w:r>
      <w:r w:rsidRPr="00906B85">
        <w:rPr>
          <w:rFonts w:hint="cs"/>
          <w:rtl/>
        </w:rPr>
        <w:t xml:space="preserve"> שלא יפחתו מסף מינימאל</w:t>
      </w:r>
      <w:r w:rsidRPr="00906B85">
        <w:rPr>
          <w:rFonts w:hint="eastAsia"/>
          <w:rtl/>
        </w:rPr>
        <w:t>י</w:t>
      </w:r>
      <w:r w:rsidRPr="00906B85">
        <w:rPr>
          <w:rFonts w:hint="cs"/>
          <w:rtl/>
        </w:rPr>
        <w:t xml:space="preserve"> הקבוע בחוק. כך יכול אדם להישפט בגין עבירה של נהיגה בשכרות (סעיף 62(3) לפקודת התעבורה) או נהיגה בזמן פסילה (סעיף 67 לפקודת התעבורה), בהיעדרו וייתכן שיוטלו עליו עונשים חמורים, ובלבד שאינם מאסר.</w:t>
      </w:r>
    </w:p>
    <w:p w:rsidRPr="00906B85" w:rsidR="00241181" w:rsidP="00906B85" w:rsidRDefault="00241181" w14:paraId="60B3EBCD" w14:textId="77777777">
      <w:pPr>
        <w:pStyle w:val="Hesber"/>
        <w:rPr>
          <w:rtl/>
        </w:rPr>
      </w:pPr>
      <w:r w:rsidRPr="00906B85">
        <w:rPr>
          <w:rFonts w:hint="cs"/>
          <w:rtl/>
        </w:rPr>
        <w:t>מהניסיו</w:t>
      </w:r>
      <w:r w:rsidRPr="00906B85">
        <w:rPr>
          <w:rFonts w:hint="eastAsia"/>
          <w:rtl/>
        </w:rPr>
        <w:t>ן</w:t>
      </w:r>
      <w:r w:rsidRPr="00906B85">
        <w:rPr>
          <w:rFonts w:hint="cs"/>
          <w:rtl/>
        </w:rPr>
        <w:t xml:space="preserve"> שהצטבר בבתי המשפט עולה כי רבים מהנאשמים לא מתייצבים לבית המשפט בשל בעיות חמורות של מסירת דברי דואר במקום מגוריהם ולעיתים גם בשל נסיבות אחרות.</w:t>
      </w:r>
    </w:p>
    <w:p w:rsidRPr="00906B85" w:rsidR="00241181" w:rsidP="00906B85" w:rsidRDefault="00241181" w14:paraId="716A0DA2" w14:textId="77777777">
      <w:pPr>
        <w:pStyle w:val="Hesber"/>
        <w:rPr>
          <w:rtl/>
        </w:rPr>
      </w:pPr>
      <w:r w:rsidRPr="00906B85">
        <w:rPr>
          <w:rFonts w:hint="cs"/>
          <w:rtl/>
        </w:rPr>
        <w:t xml:space="preserve">בעניין הדרך הראויה לבקש לבטל את פסק הדין שניתן בהעדר הנאשם ניתן פסק דין בבית המשפט העליון </w:t>
      </w:r>
      <w:r w:rsidRPr="00906B85">
        <w:rPr>
          <w:rFonts w:hint="eastAsia"/>
          <w:rtl/>
        </w:rPr>
        <w:t xml:space="preserve">– </w:t>
      </w:r>
      <w:r w:rsidRPr="00906B85">
        <w:rPr>
          <w:rFonts w:hint="cs"/>
          <w:rtl/>
        </w:rPr>
        <w:t>רע"פ 9142/01 סוראיה איטליא נ' מדינת ישראל (ניתן ביום 2 באוקטובר 2003) – אלא שפסק הדין אינו מיושם כראוי על ידי הגורמים הנוגעים בדבר והערה על כך ניתנה על ידי כבוד הנשיאה בייניש, בע"פ 4808/08 מדינת ישראל נ' שרון מנחם (ניתן ביום 6 בינואר 2009), בהעירה כי:</w:t>
      </w:r>
      <w:r w:rsidRPr="00906B85">
        <w:rPr>
          <w:rtl/>
        </w:rPr>
        <w:t xml:space="preserve"> </w:t>
      </w:r>
      <w:r w:rsidRPr="00906B85">
        <w:rPr>
          <w:rFonts w:hint="cs"/>
          <w:rtl/>
        </w:rPr>
        <w:t>"</w:t>
      </w:r>
      <w:r w:rsidRPr="00906B85">
        <w:rPr>
          <w:rtl/>
        </w:rPr>
        <w:t>לצערנו, מתקבל הרושם כי הפרקטיקה שנקבעה בעניין איטליא והטילה חובת פירוט ואימות על המבקש ביטול פסק הדין וחובה על בית המשפט לנמק את החלטתו, אינה מקוימת הלכה למעשה, ומן הראוי שבעניין זה יקפידו המעורבים בהליך ואף בתי המשפט, לפעול לפי הכללים האמורים</w:t>
      </w:r>
      <w:r w:rsidRPr="00906B85">
        <w:rPr>
          <w:rFonts w:hint="cs"/>
          <w:rtl/>
        </w:rPr>
        <w:t>"</w:t>
      </w:r>
      <w:r w:rsidRPr="00906B85">
        <w:rPr>
          <w:rtl/>
        </w:rPr>
        <w:t xml:space="preserve">. </w:t>
      </w:r>
    </w:p>
    <w:p w:rsidRPr="00906B85" w:rsidR="00241181" w:rsidP="00906B85" w:rsidRDefault="00241181" w14:paraId="0C99EADA" w14:textId="77777777">
      <w:pPr>
        <w:pStyle w:val="Hesber"/>
        <w:rPr>
          <w:rtl/>
        </w:rPr>
      </w:pPr>
      <w:r w:rsidRPr="00906B85">
        <w:rPr>
          <w:rFonts w:hint="cs"/>
          <w:rtl/>
        </w:rPr>
        <w:t xml:space="preserve">כך או כך בתי המשפט לתעבורה נדרשים לעסוק בבקשות רבות לביטול פסקי דין שניתנו בהיעדר הנאשמים. מאחר שרובן של הבקשות הללו נדחות, ערכאות הערעור נדרשות לעסוק בערעורים רבים על החלטות בבקשות לביטול פסקי דין שניתנו בהיעדר הנאשם. בקשות וערעורים אלו גורמים לעומס יתר על בתי המשפט כך ש"שכרה" של המערכת יוצא בהפסדה. </w:t>
      </w:r>
    </w:p>
    <w:p w:rsidRPr="00906B85" w:rsidR="00241181" w:rsidP="00906B85" w:rsidRDefault="00241181" w14:paraId="07D36F5C" w14:textId="77777777">
      <w:pPr>
        <w:pStyle w:val="Hesber"/>
        <w:rPr>
          <w:rtl/>
        </w:rPr>
      </w:pPr>
      <w:r w:rsidRPr="00906B85">
        <w:rPr>
          <w:rFonts w:hint="cs"/>
          <w:rtl/>
        </w:rPr>
        <w:t>לצד זאת, דחיית הבקשות לביטול אותם פסקי דין שניתנו בהיעדר הנאשם גורמת לעיוות דין כאשר נחסמים שערי בית המשפט בפני נאשמים שאינם יכולים למצות את זכויותיהם הבסיסיות להביא את טיעוניהם בפני בית המשפט טרם יכריע בדינם.</w:t>
      </w:r>
    </w:p>
    <w:p w:rsidRPr="00906B85" w:rsidR="00241181" w:rsidP="00906B85" w:rsidRDefault="00241181" w14:paraId="5563DECF" w14:textId="77777777">
      <w:pPr>
        <w:pStyle w:val="Hesber"/>
        <w:rPr>
          <w:rtl/>
        </w:rPr>
      </w:pPr>
      <w:r w:rsidRPr="00906B85">
        <w:rPr>
          <w:rFonts w:hint="cs"/>
          <w:rtl/>
        </w:rPr>
        <w:t xml:space="preserve">הצעת חוק זו מטרתה לתקן עיוות זה ובסופו של דבר גם להקל הקלה משמעותית על העומס המוטל על מערכת בתי המשפט. </w:t>
      </w:r>
    </w:p>
    <w:p w:rsidRPr="00906B85" w:rsidR="00241181" w:rsidP="00906B85" w:rsidRDefault="00241181" w14:paraId="31BABAB2" w14:textId="63D72F51">
      <w:pPr>
        <w:pStyle w:val="Hesber"/>
        <w:rPr>
          <w:rtl/>
        </w:rPr>
      </w:pPr>
      <w:r w:rsidRPr="00906B85">
        <w:rPr>
          <w:rFonts w:hint="cs"/>
          <w:rtl/>
        </w:rPr>
        <w:t xml:space="preserve">הצעות חוק זהות הונחו על שולחן הכנסת השמונה-עשרה על ידי חברי הכנסת אורי מקלב ומשה גפני (פ/2890/18), על שולחן הכנסת התשע-עשרה על ידי חבר הכנסת אורי מקלב וקבוצת חברי הכנסת </w:t>
      </w:r>
      <w:r w:rsidRPr="00906B85">
        <w:rPr>
          <w:rFonts w:hint="cs"/>
          <w:rtl/>
        </w:rPr>
        <w:lastRenderedPageBreak/>
        <w:t>(</w:t>
      </w:r>
      <w:r w:rsidRPr="00906B85">
        <w:rPr>
          <w:rtl/>
        </w:rPr>
        <w:t>פ/1135/19</w:t>
      </w:r>
      <w:r w:rsidRPr="00906B85">
        <w:rPr>
          <w:rFonts w:hint="cs"/>
          <w:rtl/>
        </w:rPr>
        <w:t>), על שולחן הכנסת העשרים על ידי חברי הכנסת אורי מקלב ומשה גפני (פ/1004/20), על שולחן הכנסת העשרים ושתיים על ידי חבר הכנסת אורי מקלב וקבוצת חברי הכנסת (פ/822/22) ועל שולחן הכנסת העשרים וש</w:t>
      </w:r>
      <w:r w:rsidR="00906B85">
        <w:rPr>
          <w:rFonts w:hint="cs"/>
          <w:rtl/>
        </w:rPr>
        <w:t>לוש</w:t>
      </w:r>
      <w:r w:rsidRPr="00906B85">
        <w:rPr>
          <w:rFonts w:hint="cs"/>
          <w:rtl/>
        </w:rPr>
        <w:t xml:space="preserve"> על ידי חבר הכנסת משה גפני וקבוצת חברי הכנסת (פ/1215/23).</w:t>
      </w:r>
    </w:p>
    <w:p w:rsidR="00E13C27" w:rsidP="00906B85" w:rsidRDefault="00906B85" w14:paraId="7F6961CB" w14:textId="264553E6">
      <w:pPr>
        <w:pStyle w:val="Hesber"/>
        <w:rPr>
          <w:rtl/>
        </w:rPr>
      </w:pPr>
      <w:r>
        <w:rPr>
          <w:rFonts w:hint="cs"/>
          <w:rtl/>
        </w:rPr>
        <w:t xml:space="preserve">הצעת החוק זהה לפ/1215/23 ולפיכך לא נבדקה מחדש על ידי הלשכה המשפטית של הכנסת. </w:t>
      </w:r>
    </w:p>
    <w:p w:rsidRPr="00906B85" w:rsidR="00906B85" w:rsidP="00906B85" w:rsidRDefault="00906B85" w14:paraId="4CB06416" w14:textId="77777777">
      <w:pPr>
        <w:pStyle w:val="Hesber"/>
        <w:rPr>
          <w:rtl/>
        </w:rPr>
      </w:pPr>
      <w:bookmarkStart w:name="_GoBack" w:id="8"/>
      <w:bookmarkEnd w:id="8"/>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ד' באדר ב' התשפ"ב</w:t>
          <w:t xml:space="preserve"> (07.03.2022) </w:t>
        </w:r>
      </w:p>
    </w:p>
    <w:sectPr w:rsidRPr="00906B85" w:rsidR="00906B85"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FA99AB1"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906B85">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505E6B3" w14:textId="77777777" w:rsidR="00241181" w:rsidRDefault="00241181" w:rsidP="00241181">
      <w:pPr>
        <w:pStyle w:val="a4"/>
      </w:pPr>
      <w:r>
        <w:rPr>
          <w:rStyle w:val="a6"/>
        </w:rPr>
        <w:footnoteRef/>
      </w:r>
      <w:r>
        <w:rPr>
          <w:rtl/>
        </w:rPr>
        <w:t xml:space="preserve"> </w:t>
      </w:r>
      <w:r>
        <w:rPr>
          <w:rFonts w:hint="cs"/>
          <w:rtl/>
        </w:rPr>
        <w:t xml:space="preserve">ס"ח התשמ"ב, עמ' 43.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181"/>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06B85"/>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0EC43C68-FF93-40F2-A755-046A3739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link w:val="a4"/>
    <w:semiHidden/>
    <w:rsid w:val="00241181"/>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2DFFCCF-EE83-4495-914C-70699E350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C4E17D46-9F18-4AB5-9757-74A9C013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589</Words>
  <Characters>3359</Characters>
  <Application>Microsoft Office Word</Application>
  <DocSecurity>0</DocSecurity>
  <Lines>27</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עדן ישראלי</cp:lastModifiedBy>
  <cp:revision>5</cp:revision>
  <cp:lastPrinted>2013-07-04T08:25:00Z</cp:lastPrinted>
  <dcterms:created xsi:type="dcterms:W3CDTF">2015-04-20T09:58:00Z</dcterms:created>
  <dcterms:modified xsi:type="dcterms:W3CDTF">2022-03-01T15:17:00Z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2190330</vt:r8>
  </property>
</Properties>
</file>